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2AA4" w14:textId="77777777" w:rsidR="00CB7F39" w:rsidRDefault="00CB7F39" w:rsidP="00CB7F39">
      <w:pPr>
        <w:spacing w:after="0" w:line="240" w:lineRule="auto"/>
        <w:ind w:left="0" w:firstLine="0"/>
        <w:rPr>
          <w:rFonts w:ascii="Times New Roman" w:hAnsi="Times New Roman" w:cs="Times New Roman"/>
          <w:b/>
          <w:color w:val="C45911" w:themeColor="accent2" w:themeShade="BF"/>
          <w:sz w:val="26"/>
          <w:u w:val="single"/>
        </w:rPr>
      </w:pPr>
      <w:r>
        <w:rPr>
          <w:rFonts w:ascii="Times New Roman" w:hAnsi="Times New Roman" w:cs="Times New Roman"/>
          <w:b/>
          <w:color w:val="C45911" w:themeColor="accent2" w:themeShade="BF"/>
          <w:sz w:val="26"/>
          <w:u w:val="single"/>
        </w:rPr>
        <w:t>ÉNONCÉ SUR LA NOTION DE PROPRIÉTÉ INTELLECTUELLE</w:t>
      </w:r>
    </w:p>
    <w:p w14:paraId="785B8A8D" w14:textId="77777777" w:rsidR="00CB7F39" w:rsidRDefault="00CB7F39" w:rsidP="00CB7F39">
      <w:pPr>
        <w:spacing w:after="0" w:line="240" w:lineRule="auto"/>
        <w:ind w:left="0" w:firstLine="0"/>
        <w:rPr>
          <w:rFonts w:ascii="Times New Roman" w:hAnsi="Times New Roman" w:cs="Times New Roman"/>
          <w:b/>
          <w:color w:val="C45911" w:themeColor="accent2" w:themeShade="BF"/>
          <w:sz w:val="26"/>
          <w:u w:val="single"/>
        </w:rPr>
      </w:pPr>
      <w:r>
        <w:rPr>
          <w:rFonts w:ascii="Times New Roman" w:hAnsi="Times New Roman" w:cs="Times New Roman"/>
          <w:b/>
          <w:color w:val="C45911" w:themeColor="accent2" w:themeShade="BF"/>
          <w:sz w:val="26"/>
          <w:u w:val="single"/>
        </w:rPr>
        <w:t xml:space="preserve"> </w:t>
      </w:r>
    </w:p>
    <w:p w14:paraId="6ADF2D2B" w14:textId="77777777" w:rsidR="00CB7F39" w:rsidRDefault="00CB7F39" w:rsidP="00CB7F39">
      <w:pPr>
        <w:pStyle w:val="Titre1"/>
        <w:spacing w:after="0" w:line="240" w:lineRule="auto"/>
        <w:ind w:left="664" w:hanging="679"/>
        <w:rPr>
          <w:rFonts w:ascii="Times New Roman" w:hAnsi="Times New Roman" w:cs="Times New Roman"/>
        </w:rPr>
      </w:pPr>
      <w:r>
        <w:rPr>
          <w:rFonts w:ascii="Times New Roman" w:hAnsi="Times New Roman" w:cs="Times New Roman"/>
        </w:rPr>
        <w:t xml:space="preserve">PRÉAMBULE </w:t>
      </w:r>
    </w:p>
    <w:p w14:paraId="0ED4C4D5" w14:textId="77777777" w:rsidR="00CB7F39" w:rsidRDefault="00CB7F39" w:rsidP="00CB7F39">
      <w:pPr>
        <w:spacing w:after="0" w:line="240" w:lineRule="auto"/>
        <w:ind w:left="142"/>
        <w:jc w:val="both"/>
        <w:rPr>
          <w:rFonts w:ascii="Times New Roman" w:hAnsi="Times New Roman" w:cs="Times New Roman"/>
        </w:rPr>
      </w:pPr>
    </w:p>
    <w:p w14:paraId="138FDCC0" w14:textId="73C4BE03" w:rsidR="00CB7F39" w:rsidRDefault="00CB7F39" w:rsidP="00CB7F39">
      <w:pPr>
        <w:spacing w:after="0" w:line="240" w:lineRule="auto"/>
        <w:ind w:left="142"/>
        <w:jc w:val="both"/>
        <w:rPr>
          <w:rFonts w:ascii="Times New Roman" w:hAnsi="Times New Roman" w:cs="Times New Roman"/>
        </w:rPr>
      </w:pPr>
      <w:r>
        <w:rPr>
          <w:rFonts w:ascii="Times New Roman" w:hAnsi="Times New Roman" w:cs="Times New Roman"/>
        </w:rPr>
        <w:t>L</w:t>
      </w:r>
      <w:r w:rsidR="004300E9">
        <w:rPr>
          <w:rFonts w:ascii="Times New Roman" w:hAnsi="Times New Roman" w:cs="Times New Roman"/>
        </w:rPr>
        <w:t>’école à distance des métiers de l’Internet et de l’innovation (</w:t>
      </w:r>
      <w:r>
        <w:rPr>
          <w:rFonts w:ascii="Times New Roman" w:hAnsi="Times New Roman" w:cs="Times New Roman"/>
        </w:rPr>
        <w:t>EAMII</w:t>
      </w:r>
      <w:r w:rsidR="004300E9">
        <w:rPr>
          <w:rFonts w:ascii="Times New Roman" w:hAnsi="Times New Roman" w:cs="Times New Roman"/>
        </w:rPr>
        <w:t>)</w:t>
      </w:r>
      <w:r>
        <w:rPr>
          <w:rFonts w:ascii="Times New Roman" w:hAnsi="Times New Roman" w:cs="Times New Roman"/>
        </w:rPr>
        <w:t xml:space="preserve"> favorise les activités de recherche dans le cadre de sa mission axée sur le développement du savoir et de l’innovation. À cet effet, elle préconise la mise en place de moyens et de mesures permettant d’encadrer ce qui en découle et qui en permet l’émergence. L’EAMII affirme dans cet énoncé, sa volonté d’encadrer les activités de recherche, en fournissant les balises définissant la notion de propriété intellectuelle. </w:t>
      </w:r>
    </w:p>
    <w:p w14:paraId="11145C2A" w14:textId="77777777" w:rsidR="00CB7F39" w:rsidRDefault="00CB7F39" w:rsidP="00CB7F39">
      <w:pPr>
        <w:spacing w:after="0" w:line="240" w:lineRule="auto"/>
        <w:ind w:left="142"/>
        <w:rPr>
          <w:rFonts w:ascii="Times New Roman" w:hAnsi="Times New Roman" w:cs="Times New Roman"/>
        </w:rPr>
      </w:pPr>
    </w:p>
    <w:p w14:paraId="55206364" w14:textId="3F14E2D2" w:rsidR="00CB7F39" w:rsidRDefault="00CB7F39" w:rsidP="00CB7F39">
      <w:pPr>
        <w:spacing w:after="0" w:line="240" w:lineRule="auto"/>
        <w:ind w:left="142"/>
        <w:rPr>
          <w:rFonts w:ascii="Times New Roman" w:hAnsi="Times New Roman" w:cs="Times New Roman"/>
        </w:rPr>
      </w:pPr>
      <w:r>
        <w:rPr>
          <w:rFonts w:ascii="Times New Roman" w:hAnsi="Times New Roman" w:cs="Times New Roman"/>
        </w:rPr>
        <w:t>Cet énoncé s’adresse à toute la communauté de l’établissement qui participe à la recherche, dont notamment les étudiants et étudiantes de l’</w:t>
      </w:r>
      <w:r w:rsidR="004300E9">
        <w:rPr>
          <w:rFonts w:ascii="Times New Roman" w:hAnsi="Times New Roman" w:cs="Times New Roman"/>
        </w:rPr>
        <w:t>EAMII</w:t>
      </w:r>
      <w:r>
        <w:rPr>
          <w:rFonts w:ascii="Times New Roman" w:hAnsi="Times New Roman" w:cs="Times New Roman"/>
        </w:rPr>
        <w:t xml:space="preserve"> ; les personnes en lien d’emploi avec </w:t>
      </w:r>
      <w:r w:rsidR="004300E9">
        <w:rPr>
          <w:rFonts w:ascii="Times New Roman" w:hAnsi="Times New Roman" w:cs="Times New Roman"/>
        </w:rPr>
        <w:t>l’</w:t>
      </w:r>
      <w:r w:rsidR="004300E9" w:rsidRPr="004300E9">
        <w:rPr>
          <w:rFonts w:ascii="Times New Roman" w:hAnsi="Times New Roman" w:cs="Times New Roman"/>
        </w:rPr>
        <w:t>EAMII</w:t>
      </w:r>
      <w:r>
        <w:rPr>
          <w:rFonts w:ascii="Times New Roman" w:hAnsi="Times New Roman" w:cs="Times New Roman"/>
        </w:rPr>
        <w:t xml:space="preserve"> ; et les partenaires ou autres collaborateurs et collaboratrices de l’</w:t>
      </w:r>
      <w:r w:rsidR="004300E9">
        <w:rPr>
          <w:rFonts w:ascii="Times New Roman" w:hAnsi="Times New Roman" w:cs="Times New Roman"/>
        </w:rPr>
        <w:t>EAMII</w:t>
      </w:r>
      <w:r>
        <w:rPr>
          <w:rFonts w:ascii="Times New Roman" w:hAnsi="Times New Roman" w:cs="Times New Roman"/>
        </w:rPr>
        <w:t xml:space="preserve">. </w:t>
      </w:r>
    </w:p>
    <w:p w14:paraId="5691CCA4" w14:textId="77777777" w:rsidR="00CB7F39" w:rsidRDefault="00CB7F39" w:rsidP="00CB7F39">
      <w:pPr>
        <w:spacing w:after="0" w:line="240" w:lineRule="auto"/>
        <w:ind w:left="674"/>
        <w:rPr>
          <w:rFonts w:ascii="Times New Roman" w:hAnsi="Times New Roman" w:cs="Times New Roman"/>
        </w:rPr>
      </w:pPr>
    </w:p>
    <w:p w14:paraId="32649D33" w14:textId="77777777" w:rsidR="00CB7F39" w:rsidRDefault="00CB7F39" w:rsidP="00CB7F39">
      <w:pPr>
        <w:spacing w:after="0" w:line="240" w:lineRule="auto"/>
        <w:ind w:left="674"/>
        <w:rPr>
          <w:rFonts w:ascii="Times New Roman" w:hAnsi="Times New Roman" w:cs="Times New Roman"/>
        </w:rPr>
      </w:pPr>
    </w:p>
    <w:p w14:paraId="58EF7D66" w14:textId="77777777" w:rsidR="00CB7F39" w:rsidRDefault="00CB7F39" w:rsidP="00CB7F39">
      <w:pPr>
        <w:pStyle w:val="Titre1"/>
        <w:spacing w:after="0" w:line="240" w:lineRule="auto"/>
        <w:ind w:left="664" w:hanging="679"/>
        <w:rPr>
          <w:rFonts w:ascii="Times New Roman" w:hAnsi="Times New Roman" w:cs="Times New Roman"/>
        </w:rPr>
      </w:pPr>
      <w:r>
        <w:rPr>
          <w:rFonts w:ascii="Times New Roman" w:hAnsi="Times New Roman" w:cs="Times New Roman"/>
        </w:rPr>
        <w:t xml:space="preserve">NOTION DE PROPRIÉTÉ INTELLECTUELLE  </w:t>
      </w:r>
    </w:p>
    <w:p w14:paraId="76AAA405" w14:textId="77777777" w:rsidR="00CB7F39" w:rsidRDefault="00CB7F39" w:rsidP="00CB7F39">
      <w:pPr>
        <w:spacing w:after="0" w:line="240" w:lineRule="auto"/>
        <w:ind w:left="-15" w:firstLine="0"/>
        <w:jc w:val="both"/>
        <w:rPr>
          <w:rFonts w:ascii="Times New Roman" w:hAnsi="Times New Roman" w:cs="Times New Roman"/>
        </w:rPr>
      </w:pPr>
    </w:p>
    <w:p w14:paraId="0B633839" w14:textId="77777777" w:rsidR="00CB7F39" w:rsidRDefault="00CB7F39" w:rsidP="00CB7F39">
      <w:pPr>
        <w:spacing w:after="0" w:line="240" w:lineRule="auto"/>
        <w:ind w:left="-15" w:firstLine="0"/>
        <w:jc w:val="both"/>
        <w:rPr>
          <w:rFonts w:ascii="Times New Roman" w:hAnsi="Times New Roman" w:cs="Times New Roman"/>
        </w:rPr>
      </w:pPr>
      <w:r>
        <w:rPr>
          <w:rFonts w:ascii="Times New Roman" w:hAnsi="Times New Roman" w:cs="Times New Roman"/>
        </w:rPr>
        <w:t xml:space="preserve">La propriété intellectuelle est constituée par toute forme de connaissance ou d’expression créées par l’esprit. Sont visés notamment les inventions, logiciels, marques de commerce, œuvres littéraires, artistiques ou musicales, échantillons, dispositifs, démonstrations, secrets commerciaux, renseignements techniques, systèmes informatiques, données financières, plans d’affaires, renseignements personnels, résultats de la recherche et autres données livrées oralement ou par écrit. </w:t>
      </w:r>
    </w:p>
    <w:p w14:paraId="7870A577" w14:textId="77777777" w:rsidR="00CB7F39" w:rsidRDefault="00CB7F39" w:rsidP="00CB7F39">
      <w:pPr>
        <w:spacing w:after="0" w:line="240" w:lineRule="auto"/>
        <w:ind w:left="-15" w:firstLine="0"/>
        <w:jc w:val="both"/>
        <w:rPr>
          <w:rFonts w:ascii="Times New Roman" w:hAnsi="Times New Roman" w:cs="Times New Roman"/>
        </w:rPr>
      </w:pPr>
    </w:p>
    <w:p w14:paraId="1488C05E" w14:textId="77777777" w:rsidR="00CB7F39" w:rsidRDefault="00CB7F39" w:rsidP="00CB7F39">
      <w:pPr>
        <w:spacing w:after="0" w:line="240" w:lineRule="auto"/>
        <w:ind w:left="-15" w:firstLine="0"/>
        <w:jc w:val="both"/>
        <w:rPr>
          <w:rFonts w:ascii="Times New Roman" w:hAnsi="Times New Roman" w:cs="Times New Roman"/>
        </w:rPr>
      </w:pPr>
      <w:r>
        <w:rPr>
          <w:rFonts w:ascii="Times New Roman" w:hAnsi="Times New Roman" w:cs="Times New Roman"/>
        </w:rPr>
        <w:t xml:space="preserve">La propriété intellectuelle inclut, entre autres, le droit d’auteur, le brevet, le dessin industriel et la marque de commerce. Pour chaque cas, des lois s’appliquent et peuvent être consultées sur le site de l’Office de la propriété intellectuelle du Canada (https://www.opic.ca).  Ce cadre législatif sert de référence.  </w:t>
      </w:r>
    </w:p>
    <w:p w14:paraId="5D488C9F" w14:textId="77777777" w:rsidR="00CB7F39" w:rsidRDefault="00CB7F39" w:rsidP="00CB7F39">
      <w:pPr>
        <w:spacing w:after="0" w:line="240" w:lineRule="auto"/>
        <w:ind w:left="-15" w:firstLine="0"/>
        <w:jc w:val="both"/>
        <w:rPr>
          <w:rFonts w:ascii="Times New Roman" w:hAnsi="Times New Roman" w:cs="Times New Roman"/>
        </w:rPr>
      </w:pPr>
    </w:p>
    <w:p w14:paraId="43478BA0" w14:textId="77777777" w:rsidR="00CB7F39" w:rsidRDefault="00CB7F39" w:rsidP="00CB7F39">
      <w:pPr>
        <w:pStyle w:val="Titre1"/>
        <w:spacing w:after="0" w:line="240" w:lineRule="auto"/>
        <w:ind w:left="664" w:hanging="679"/>
        <w:rPr>
          <w:rFonts w:ascii="Times New Roman" w:hAnsi="Times New Roman" w:cs="Times New Roman"/>
        </w:rPr>
      </w:pPr>
      <w:r>
        <w:rPr>
          <w:rFonts w:ascii="Times New Roman" w:hAnsi="Times New Roman" w:cs="Times New Roman"/>
        </w:rPr>
        <w:t xml:space="preserve">DROIT D’AUTEUR </w:t>
      </w:r>
    </w:p>
    <w:p w14:paraId="2AC44721" w14:textId="77777777" w:rsidR="00CB7F39" w:rsidRDefault="00CB7F39" w:rsidP="00CB7F39">
      <w:pPr>
        <w:spacing w:after="0" w:line="240" w:lineRule="auto"/>
        <w:ind w:left="-15" w:firstLine="0"/>
        <w:jc w:val="both"/>
        <w:rPr>
          <w:rFonts w:ascii="Times New Roman" w:hAnsi="Times New Roman" w:cs="Times New Roman"/>
        </w:rPr>
      </w:pPr>
    </w:p>
    <w:p w14:paraId="46E973D6" w14:textId="77777777" w:rsidR="00CB7F39" w:rsidRDefault="00CB7F39" w:rsidP="00CB7F39">
      <w:pPr>
        <w:spacing w:after="0" w:line="240" w:lineRule="auto"/>
        <w:ind w:left="-15" w:firstLine="0"/>
        <w:jc w:val="both"/>
        <w:rPr>
          <w:rFonts w:ascii="Times New Roman" w:hAnsi="Times New Roman" w:cs="Times New Roman"/>
        </w:rPr>
      </w:pPr>
      <w:r>
        <w:rPr>
          <w:rFonts w:ascii="Times New Roman" w:hAnsi="Times New Roman" w:cs="Times New Roman"/>
        </w:rPr>
        <w:t xml:space="preserve">Le droit d'auteur donne le droit exclusif de produire, de reproduire, de publier ou d'exécuter une œuvre originale de nature littéraire, artistique, dramatique ou musicale. Le créateur ou la créatrice est généralement le titulaire du droit d'auteur. Toutefois, un employeur peut détenir le droit d'auteur sur les œuvres créées par ses employés, à moins d'avoir conclu un accord prévoyant le contraire. </w:t>
      </w:r>
    </w:p>
    <w:p w14:paraId="050DB116" w14:textId="77777777" w:rsidR="00CB7F39" w:rsidRDefault="00CB7F39" w:rsidP="00CB7F39">
      <w:pPr>
        <w:spacing w:after="0" w:line="240" w:lineRule="auto"/>
        <w:rPr>
          <w:rFonts w:ascii="Times New Roman" w:hAnsi="Times New Roman" w:cs="Times New Roman"/>
        </w:rPr>
      </w:pPr>
    </w:p>
    <w:p w14:paraId="794F5262" w14:textId="77777777" w:rsidR="00CB7F39" w:rsidRDefault="00CB7F39" w:rsidP="00CB7F39">
      <w:pPr>
        <w:spacing w:after="0" w:line="240" w:lineRule="auto"/>
        <w:ind w:left="-15" w:firstLine="0"/>
        <w:jc w:val="both"/>
        <w:rPr>
          <w:rFonts w:ascii="Times New Roman" w:hAnsi="Times New Roman" w:cs="Times New Roman"/>
        </w:rPr>
      </w:pPr>
      <w:r>
        <w:rPr>
          <w:rFonts w:ascii="Times New Roman" w:hAnsi="Times New Roman" w:cs="Times New Roman"/>
        </w:rPr>
        <w:t xml:space="preserve">Le détenteur ou la détentrice du droit d'auteur sur une œuvre, contrôle la manière dont elle est utilisée afin de protéger sa valeur. Les utilisateurs potentiels de l'œuvre doivent l'acheter ou obtenir sa permission pour l’utiliser. </w:t>
      </w:r>
    </w:p>
    <w:p w14:paraId="73187F0C" w14:textId="77777777" w:rsidR="00CB7F39" w:rsidRDefault="00CB7F39" w:rsidP="00CB7F39">
      <w:pPr>
        <w:spacing w:after="0" w:line="240" w:lineRule="auto"/>
        <w:ind w:left="-15" w:firstLine="0"/>
        <w:jc w:val="both"/>
        <w:rPr>
          <w:rFonts w:ascii="Times New Roman" w:hAnsi="Times New Roman" w:cs="Times New Roman"/>
        </w:rPr>
      </w:pPr>
    </w:p>
    <w:p w14:paraId="0DCEDC89" w14:textId="77777777" w:rsidR="00CB7F39" w:rsidRDefault="00CB7F39" w:rsidP="00CB7F39">
      <w:pPr>
        <w:spacing w:after="0" w:line="240" w:lineRule="auto"/>
        <w:ind w:left="-15" w:firstLine="0"/>
        <w:jc w:val="both"/>
        <w:rPr>
          <w:rFonts w:ascii="Times New Roman" w:hAnsi="Times New Roman" w:cs="Times New Roman"/>
        </w:rPr>
      </w:pPr>
      <w:r>
        <w:rPr>
          <w:rFonts w:ascii="Times New Roman" w:hAnsi="Times New Roman" w:cs="Times New Roman"/>
        </w:rPr>
        <w:t xml:space="preserve">Une œuvre originale est automatiquement protégée par un droit d'auteur dès qu’elle est créée. L’enregistrement d’un droit d'auteur mène à l’émission d’un certificat de l'Office de la propriété intellectuelle du Canada qui peut être utilisé en cour comme preuve de propriété. </w:t>
      </w:r>
    </w:p>
    <w:p w14:paraId="53EF19E8" w14:textId="77777777" w:rsidR="00CB7F39" w:rsidRDefault="00CB7F39" w:rsidP="00CB7F39">
      <w:pPr>
        <w:spacing w:after="0" w:line="240" w:lineRule="auto"/>
        <w:ind w:left="-15" w:firstLine="0"/>
        <w:jc w:val="both"/>
        <w:rPr>
          <w:rFonts w:ascii="Times New Roman" w:hAnsi="Times New Roman" w:cs="Times New Roman"/>
        </w:rPr>
      </w:pPr>
    </w:p>
    <w:p w14:paraId="16C1C495" w14:textId="77777777" w:rsidR="00CB7F39" w:rsidRDefault="00CB7F39" w:rsidP="00CB7F39">
      <w:pPr>
        <w:spacing w:after="0" w:line="240" w:lineRule="auto"/>
        <w:ind w:left="-15" w:firstLine="0"/>
        <w:jc w:val="both"/>
        <w:rPr>
          <w:rFonts w:ascii="Times New Roman" w:hAnsi="Times New Roman" w:cs="Times New Roman"/>
        </w:rPr>
      </w:pPr>
      <w:r>
        <w:rPr>
          <w:rFonts w:ascii="Times New Roman" w:hAnsi="Times New Roman" w:cs="Times New Roman"/>
        </w:rPr>
        <w:t xml:space="preserve">Le droit d'auteur existe au Canada pendant toute la durée de vie du détenteur ou de la détentrice et 50 ans après son décès. Par la suite, l'œuvre appartiendra au domaine public et n'importe qui pourra l'utiliser. C'est le cas pour la plupart des œuvres, mais il existe toutefois certaines exceptions. </w:t>
      </w:r>
    </w:p>
    <w:p w14:paraId="229F3FCE" w14:textId="77777777" w:rsidR="00CB7F39" w:rsidRDefault="00CB7F39" w:rsidP="00CB7F39">
      <w:pPr>
        <w:spacing w:after="0" w:line="240" w:lineRule="auto"/>
        <w:ind w:left="-15" w:firstLine="0"/>
        <w:jc w:val="both"/>
        <w:rPr>
          <w:rFonts w:ascii="Times New Roman" w:hAnsi="Times New Roman" w:cs="Times New Roman"/>
        </w:rPr>
      </w:pPr>
    </w:p>
    <w:p w14:paraId="525F73BD" w14:textId="77777777" w:rsidR="00CB7F39" w:rsidRDefault="00CB7F39" w:rsidP="00CB7F39">
      <w:pPr>
        <w:spacing w:after="0" w:line="240" w:lineRule="auto"/>
        <w:ind w:left="-15" w:firstLine="0"/>
        <w:jc w:val="both"/>
        <w:rPr>
          <w:rFonts w:ascii="Times New Roman" w:hAnsi="Times New Roman" w:cs="Times New Roman"/>
        </w:rPr>
      </w:pPr>
      <w:r>
        <w:rPr>
          <w:rFonts w:ascii="Times New Roman" w:hAnsi="Times New Roman" w:cs="Times New Roman"/>
        </w:rPr>
        <w:t xml:space="preserve">Un règlement académique portant sur le droit d’auteur figure au nombre des règlements adoptés par l’EAMII. </w:t>
      </w:r>
    </w:p>
    <w:p w14:paraId="32E7F274" w14:textId="77777777" w:rsidR="00CB7F39" w:rsidRDefault="00CB7F39" w:rsidP="00CB7F39">
      <w:pPr>
        <w:spacing w:after="0" w:line="240" w:lineRule="auto"/>
        <w:ind w:left="-15" w:firstLine="0"/>
        <w:jc w:val="both"/>
        <w:rPr>
          <w:rFonts w:ascii="Times New Roman" w:hAnsi="Times New Roman" w:cs="Times New Roman"/>
        </w:rPr>
      </w:pPr>
    </w:p>
    <w:p w14:paraId="074D08FC" w14:textId="77777777" w:rsidR="00CB7F39" w:rsidRDefault="00CB7F39" w:rsidP="00CB7F39">
      <w:pPr>
        <w:pStyle w:val="Titre1"/>
        <w:spacing w:after="0" w:line="240" w:lineRule="auto"/>
        <w:ind w:left="664" w:hanging="679"/>
        <w:rPr>
          <w:rFonts w:ascii="Times New Roman" w:hAnsi="Times New Roman" w:cs="Times New Roman"/>
        </w:rPr>
      </w:pPr>
      <w:r>
        <w:rPr>
          <w:rFonts w:ascii="Times New Roman" w:hAnsi="Times New Roman" w:cs="Times New Roman"/>
        </w:rPr>
        <w:lastRenderedPageBreak/>
        <w:t xml:space="preserve">BREVET </w:t>
      </w:r>
    </w:p>
    <w:p w14:paraId="315E71E8" w14:textId="77777777" w:rsidR="00CB7F39" w:rsidRDefault="00CB7F39" w:rsidP="00CB7F39">
      <w:pPr>
        <w:spacing w:after="0" w:line="240" w:lineRule="auto"/>
        <w:ind w:left="10"/>
        <w:jc w:val="both"/>
        <w:rPr>
          <w:rFonts w:ascii="Times New Roman" w:hAnsi="Times New Roman" w:cs="Times New Roman"/>
        </w:rPr>
      </w:pPr>
      <w:r>
        <w:rPr>
          <w:rFonts w:ascii="Times New Roman" w:hAnsi="Times New Roman" w:cs="Times New Roman"/>
        </w:rPr>
        <w:t xml:space="preserve">Les brevets s'appliquent aux inventions et aux technologies nouvellement créées et aux améliorations apportées aux produits ou aux procédés. Les brevets accordent un droit exclusif limité dans le temps et protégé légalement pour utiliser et vendre une invention. Ils servent donc, en quelque sorte, à récompenser l'ingéniosité. </w:t>
      </w:r>
    </w:p>
    <w:p w14:paraId="0F449A44" w14:textId="77777777" w:rsidR="00CB7F39" w:rsidRDefault="00CB7F39" w:rsidP="00CB7F39">
      <w:pPr>
        <w:spacing w:after="0" w:line="240" w:lineRule="auto"/>
        <w:ind w:left="691" w:hanging="11"/>
        <w:jc w:val="both"/>
        <w:rPr>
          <w:rFonts w:ascii="Times New Roman" w:hAnsi="Times New Roman" w:cs="Times New Roman"/>
        </w:rPr>
      </w:pPr>
    </w:p>
    <w:p w14:paraId="55DED308" w14:textId="77777777" w:rsidR="00CB7F39" w:rsidRDefault="00CB7F39" w:rsidP="00CB7F39">
      <w:pPr>
        <w:spacing w:after="0" w:line="240" w:lineRule="auto"/>
        <w:ind w:left="0" w:firstLine="0"/>
        <w:jc w:val="both"/>
        <w:rPr>
          <w:rFonts w:ascii="Times New Roman" w:hAnsi="Times New Roman" w:cs="Times New Roman"/>
        </w:rPr>
      </w:pPr>
      <w:r>
        <w:rPr>
          <w:rFonts w:ascii="Times New Roman" w:hAnsi="Times New Roman" w:cs="Times New Roman"/>
        </w:rPr>
        <w:t xml:space="preserve">Pour être brevetable, une invention doit être nouvelle, non-évidente et utile. </w:t>
      </w:r>
    </w:p>
    <w:p w14:paraId="6052B9D0" w14:textId="77777777" w:rsidR="00CB7F39" w:rsidRDefault="00CB7F39" w:rsidP="00CB7F39">
      <w:pPr>
        <w:spacing w:after="0" w:line="240" w:lineRule="auto"/>
        <w:ind w:left="0" w:firstLine="0"/>
        <w:jc w:val="both"/>
        <w:rPr>
          <w:rFonts w:ascii="Times New Roman" w:hAnsi="Times New Roman" w:cs="Times New Roman"/>
        </w:rPr>
      </w:pPr>
      <w:r>
        <w:rPr>
          <w:rFonts w:ascii="Times New Roman" w:hAnsi="Times New Roman" w:cs="Times New Roman"/>
        </w:rPr>
        <w:t xml:space="preserve">Les brevets sont valides pour une durée de vingt ans. Pendant cette période, la propriété intellectuelle appartient uniquement au titulaire du brevet. Le brevet permet à son titulaire d’empêcher quiconque de fabriquer, utiliser, vendre ou importer la technologie protégée par brevet. </w:t>
      </w:r>
    </w:p>
    <w:p w14:paraId="60AF4D95" w14:textId="77777777" w:rsidR="00CB7F39" w:rsidRDefault="00CB7F39" w:rsidP="00CB7F39">
      <w:pPr>
        <w:spacing w:after="0" w:line="240" w:lineRule="auto"/>
        <w:ind w:left="0" w:firstLine="0"/>
        <w:jc w:val="both"/>
        <w:rPr>
          <w:rFonts w:ascii="Times New Roman" w:hAnsi="Times New Roman" w:cs="Times New Roman"/>
        </w:rPr>
      </w:pPr>
    </w:p>
    <w:p w14:paraId="404031FC" w14:textId="77777777" w:rsidR="00CB7F39" w:rsidRDefault="00CB7F39" w:rsidP="00CB7F39">
      <w:pPr>
        <w:spacing w:after="0" w:line="240" w:lineRule="auto"/>
        <w:ind w:left="0"/>
        <w:jc w:val="both"/>
        <w:rPr>
          <w:rFonts w:ascii="Times New Roman" w:hAnsi="Times New Roman" w:cs="Times New Roman"/>
        </w:rPr>
      </w:pPr>
      <w:r>
        <w:rPr>
          <w:rFonts w:ascii="Times New Roman" w:hAnsi="Times New Roman" w:cs="Times New Roman"/>
        </w:rPr>
        <w:t xml:space="preserve">En ne déposant pas une demande de brevet avant la divulgation publique d’une invention, l’inventeur ou l’inventrice ne pourra pas déposer une demande brevet dans un pays autre que le Canada ou les États-Unis. Au Canada et aux États-Unis, il faut disposer encore de douze mois à compter d'une première divulgation publique pour déposer une demande de brevet. Après cette période de temps, l’invention ne pourra pas être brevetée. </w:t>
      </w:r>
    </w:p>
    <w:p w14:paraId="79CA56C0" w14:textId="77777777" w:rsidR="00CB7F39" w:rsidRDefault="00CB7F39" w:rsidP="00CB7F39">
      <w:pPr>
        <w:spacing w:after="0" w:line="240" w:lineRule="auto"/>
        <w:ind w:left="674"/>
        <w:rPr>
          <w:rFonts w:ascii="Times New Roman" w:hAnsi="Times New Roman" w:cs="Times New Roman"/>
        </w:rPr>
      </w:pPr>
    </w:p>
    <w:p w14:paraId="626F0B85" w14:textId="77777777" w:rsidR="00CB7F39" w:rsidRDefault="00CB7F39" w:rsidP="00CB7F39">
      <w:pPr>
        <w:pStyle w:val="Titre1"/>
        <w:spacing w:after="0" w:line="240" w:lineRule="auto"/>
        <w:ind w:left="664" w:hanging="679"/>
        <w:rPr>
          <w:rFonts w:ascii="Times New Roman" w:hAnsi="Times New Roman" w:cs="Times New Roman"/>
        </w:rPr>
      </w:pPr>
      <w:r>
        <w:rPr>
          <w:rFonts w:ascii="Times New Roman" w:hAnsi="Times New Roman" w:cs="Times New Roman"/>
        </w:rPr>
        <w:t xml:space="preserve">DESSIN INDUSTRIEL </w:t>
      </w:r>
    </w:p>
    <w:p w14:paraId="5919CC40" w14:textId="77777777" w:rsidR="00CB7F39" w:rsidRDefault="00CB7F39" w:rsidP="00CB7F39">
      <w:pPr>
        <w:spacing w:after="0" w:line="240" w:lineRule="auto"/>
        <w:ind w:left="0"/>
        <w:jc w:val="both"/>
        <w:rPr>
          <w:rFonts w:ascii="Times New Roman" w:hAnsi="Times New Roman" w:cs="Times New Roman"/>
        </w:rPr>
      </w:pPr>
      <w:r>
        <w:rPr>
          <w:rFonts w:ascii="Times New Roman" w:hAnsi="Times New Roman" w:cs="Times New Roman"/>
        </w:rPr>
        <w:t xml:space="preserve">Les dessins industriels concernent les caractéristiques visuelles touchant la forme, la configuration, le motif ou les éléments décoratifs, ou toute combinaison de ces caractéristiques, d'un objet fini et il est nécessaire d’accorder la protection d’une forme ou d’une apparence à un article utilitaire et manufacturé.  </w:t>
      </w:r>
    </w:p>
    <w:p w14:paraId="4DBD9269" w14:textId="77777777" w:rsidR="00CB7F39" w:rsidRDefault="00CB7F39" w:rsidP="00CB7F39">
      <w:pPr>
        <w:spacing w:after="0" w:line="240" w:lineRule="auto"/>
        <w:ind w:left="0"/>
        <w:jc w:val="both"/>
        <w:rPr>
          <w:rFonts w:ascii="Times New Roman" w:hAnsi="Times New Roman" w:cs="Times New Roman"/>
        </w:rPr>
      </w:pPr>
    </w:p>
    <w:p w14:paraId="7CA693D7" w14:textId="77777777" w:rsidR="00CB7F39" w:rsidRDefault="00CB7F39" w:rsidP="00CB7F39">
      <w:pPr>
        <w:spacing w:after="0" w:line="240" w:lineRule="auto"/>
        <w:ind w:left="0"/>
        <w:jc w:val="both"/>
        <w:rPr>
          <w:rFonts w:ascii="Times New Roman" w:hAnsi="Times New Roman" w:cs="Times New Roman"/>
        </w:rPr>
      </w:pPr>
      <w:r>
        <w:rPr>
          <w:rFonts w:ascii="Times New Roman" w:hAnsi="Times New Roman" w:cs="Times New Roman"/>
        </w:rPr>
        <w:t xml:space="preserve">Il est recommandé au créateur ou à la créatrice d’un nouveau produit d’apparence distinctive d’enregistrer ses dessins. </w:t>
      </w:r>
    </w:p>
    <w:p w14:paraId="1D82AD2C" w14:textId="77777777" w:rsidR="00CB7F39" w:rsidRDefault="00CB7F39" w:rsidP="00CB7F39">
      <w:pPr>
        <w:spacing w:after="0" w:line="240" w:lineRule="auto"/>
        <w:ind w:left="0"/>
        <w:jc w:val="both"/>
        <w:rPr>
          <w:rFonts w:ascii="Times New Roman" w:hAnsi="Times New Roman" w:cs="Times New Roman"/>
        </w:rPr>
      </w:pPr>
    </w:p>
    <w:p w14:paraId="393A3372" w14:textId="77777777" w:rsidR="00CB7F39" w:rsidRDefault="00CB7F39" w:rsidP="00CB7F39">
      <w:pPr>
        <w:spacing w:after="0" w:line="240" w:lineRule="auto"/>
        <w:ind w:left="0"/>
        <w:jc w:val="both"/>
        <w:rPr>
          <w:rFonts w:ascii="Times New Roman" w:hAnsi="Times New Roman" w:cs="Times New Roman"/>
        </w:rPr>
      </w:pPr>
      <w:r>
        <w:rPr>
          <w:rFonts w:ascii="Times New Roman" w:hAnsi="Times New Roman" w:cs="Times New Roman"/>
        </w:rPr>
        <w:t xml:space="preserve">En enregistrant un dessin industriel, le détenteur ou la détentrice obtient des droits exclusifs exécutoires au Canada pour une période d'au plus dix ans. Il est aussi possible de vendre ses droits ou les céder sous forme de licences pour permettre à d'autres personnes de fabriquer, d'utiliser ou de vendre le dessin. </w:t>
      </w:r>
    </w:p>
    <w:p w14:paraId="08D47AAD" w14:textId="77777777" w:rsidR="00CB7F39" w:rsidRDefault="00CB7F39" w:rsidP="00CB7F39">
      <w:pPr>
        <w:spacing w:after="0" w:line="240" w:lineRule="auto"/>
        <w:ind w:left="0"/>
        <w:jc w:val="both"/>
        <w:rPr>
          <w:rFonts w:ascii="Times New Roman" w:hAnsi="Times New Roman" w:cs="Times New Roman"/>
        </w:rPr>
      </w:pPr>
    </w:p>
    <w:p w14:paraId="5A7305A7" w14:textId="77777777" w:rsidR="00CB7F39" w:rsidRDefault="00CB7F39" w:rsidP="00CB7F39">
      <w:pPr>
        <w:pStyle w:val="Titre1"/>
        <w:spacing w:after="0" w:line="240" w:lineRule="auto"/>
        <w:ind w:left="664" w:hanging="679"/>
        <w:rPr>
          <w:rFonts w:ascii="Times New Roman" w:hAnsi="Times New Roman" w:cs="Times New Roman"/>
        </w:rPr>
      </w:pPr>
      <w:r>
        <w:rPr>
          <w:rFonts w:ascii="Times New Roman" w:hAnsi="Times New Roman" w:cs="Times New Roman"/>
        </w:rPr>
        <w:t xml:space="preserve">MARQUE DE COMMERCE </w:t>
      </w:r>
    </w:p>
    <w:p w14:paraId="09ACCA76" w14:textId="77777777" w:rsidR="00CB7F39" w:rsidRDefault="00CB7F39" w:rsidP="00CB7F39">
      <w:pPr>
        <w:spacing w:after="0" w:line="240" w:lineRule="auto"/>
        <w:ind w:left="10"/>
        <w:jc w:val="both"/>
        <w:rPr>
          <w:rFonts w:ascii="Times New Roman" w:hAnsi="Times New Roman" w:cs="Times New Roman"/>
        </w:rPr>
      </w:pPr>
      <w:r>
        <w:rPr>
          <w:rFonts w:ascii="Times New Roman" w:hAnsi="Times New Roman" w:cs="Times New Roman"/>
        </w:rPr>
        <w:t xml:space="preserve">Une marque de commerce est une combinaison de lettres, de mots, de sons ou de symboles qui différencie les produits et services d’une entreprise de ceux d’une autre sur le marché. </w:t>
      </w:r>
    </w:p>
    <w:p w14:paraId="44DFCED5" w14:textId="77777777" w:rsidR="00CB7F39" w:rsidRDefault="00CB7F39" w:rsidP="00CB7F39">
      <w:pPr>
        <w:spacing w:after="0" w:line="240" w:lineRule="auto"/>
        <w:ind w:left="10"/>
        <w:jc w:val="both"/>
        <w:rPr>
          <w:rFonts w:ascii="Times New Roman" w:hAnsi="Times New Roman" w:cs="Times New Roman"/>
        </w:rPr>
      </w:pPr>
    </w:p>
    <w:p w14:paraId="590EA389" w14:textId="77777777" w:rsidR="00CB7F39" w:rsidRDefault="00CB7F39" w:rsidP="00CB7F39">
      <w:pPr>
        <w:spacing w:after="0" w:line="240" w:lineRule="auto"/>
        <w:ind w:left="10"/>
        <w:jc w:val="both"/>
        <w:rPr>
          <w:rFonts w:ascii="Times New Roman" w:hAnsi="Times New Roman" w:cs="Times New Roman"/>
        </w:rPr>
      </w:pPr>
      <w:r>
        <w:rPr>
          <w:rFonts w:ascii="Times New Roman" w:hAnsi="Times New Roman" w:cs="Times New Roman"/>
        </w:rPr>
        <w:t xml:space="preserve">Une marque de commerce est unique et distinctive. Elle est importante pour une organisation car elle identifie ses produits et services et les associe à sa réputation et à son image de marque. </w:t>
      </w:r>
    </w:p>
    <w:p w14:paraId="21A496AA" w14:textId="77777777" w:rsidR="00CB7F39" w:rsidRDefault="00CB7F39" w:rsidP="00CB7F39">
      <w:pPr>
        <w:spacing w:after="0" w:line="240" w:lineRule="auto"/>
        <w:ind w:left="10"/>
        <w:jc w:val="both"/>
        <w:rPr>
          <w:rFonts w:ascii="Times New Roman" w:hAnsi="Times New Roman" w:cs="Times New Roman"/>
        </w:rPr>
      </w:pPr>
    </w:p>
    <w:p w14:paraId="4234ADB5" w14:textId="77777777" w:rsidR="00CB7F39" w:rsidRDefault="00CB7F39" w:rsidP="00CB7F39">
      <w:pPr>
        <w:spacing w:after="0" w:line="240" w:lineRule="auto"/>
        <w:ind w:left="10"/>
        <w:jc w:val="both"/>
        <w:rPr>
          <w:rFonts w:ascii="Times New Roman" w:hAnsi="Times New Roman" w:cs="Times New Roman"/>
        </w:rPr>
      </w:pPr>
      <w:r>
        <w:rPr>
          <w:rFonts w:ascii="Times New Roman" w:hAnsi="Times New Roman" w:cs="Times New Roman"/>
        </w:rPr>
        <w:t xml:space="preserve">En enregistrant une marque de commerce, l’organisation obtient le droit exclusif de l’employer partout au Canada pendant une période de 15 ans (ce terme est renouvelable). </w:t>
      </w:r>
    </w:p>
    <w:p w14:paraId="79F8CA33" w14:textId="71EA697C" w:rsidR="00CB7F39" w:rsidRDefault="00CB7F39" w:rsidP="00CB7F39">
      <w:pPr>
        <w:spacing w:after="0" w:line="240" w:lineRule="auto"/>
        <w:ind w:left="10"/>
        <w:jc w:val="both"/>
        <w:rPr>
          <w:rFonts w:ascii="Times New Roman" w:hAnsi="Times New Roman" w:cs="Times New Roman"/>
        </w:rPr>
      </w:pPr>
      <w:r>
        <w:rPr>
          <w:rFonts w:ascii="Times New Roman" w:hAnsi="Times New Roman" w:cs="Times New Roman"/>
        </w:rPr>
        <w:t>Dans les cas des numéros 4, 5 et 6 présentés dans cet énoncé, l’</w:t>
      </w:r>
      <w:r w:rsidR="004300E9">
        <w:rPr>
          <w:rFonts w:ascii="Times New Roman" w:hAnsi="Times New Roman" w:cs="Times New Roman"/>
        </w:rPr>
        <w:t>EAMII</w:t>
      </w:r>
      <w:r>
        <w:rPr>
          <w:rFonts w:ascii="Times New Roman" w:hAnsi="Times New Roman" w:cs="Times New Roman"/>
        </w:rPr>
        <w:t xml:space="preserve"> a adopté un règlement académique intitulé Règlement sur les inventions et le transfert de technologie, qui en précise les modalités d’application. </w:t>
      </w:r>
    </w:p>
    <w:p w14:paraId="5871F160" w14:textId="77777777" w:rsidR="00CB7F39" w:rsidRDefault="00CB7F39" w:rsidP="00CB7F39">
      <w:pPr>
        <w:spacing w:after="0" w:line="240" w:lineRule="auto"/>
        <w:ind w:left="10"/>
        <w:jc w:val="both"/>
        <w:rPr>
          <w:rFonts w:ascii="Times New Roman" w:hAnsi="Times New Roman" w:cs="Times New Roman"/>
        </w:rPr>
      </w:pPr>
    </w:p>
    <w:p w14:paraId="2645CA9D" w14:textId="77777777" w:rsidR="00CB7F39" w:rsidRDefault="00CB7F39" w:rsidP="00CB7F39">
      <w:pPr>
        <w:pStyle w:val="Titre1"/>
        <w:spacing w:after="0" w:line="240" w:lineRule="auto"/>
        <w:ind w:left="616" w:hanging="631"/>
        <w:rPr>
          <w:rFonts w:ascii="Times New Roman" w:hAnsi="Times New Roman" w:cs="Times New Roman"/>
        </w:rPr>
      </w:pPr>
      <w:r>
        <w:rPr>
          <w:rFonts w:ascii="Times New Roman" w:hAnsi="Times New Roman" w:cs="Times New Roman"/>
        </w:rPr>
        <w:t xml:space="preserve">ENTRÉE EN VIGUEUR, MODIFICATION ET RÉVISION DU PRÉSENT ÉNONCÉ </w:t>
      </w:r>
    </w:p>
    <w:p w14:paraId="5E7AC199" w14:textId="77777777" w:rsidR="00CB7F39" w:rsidRDefault="00CB7F39" w:rsidP="00CB7F39">
      <w:pPr>
        <w:spacing w:after="0" w:line="240" w:lineRule="auto"/>
        <w:ind w:left="10"/>
        <w:rPr>
          <w:rFonts w:ascii="Times New Roman" w:hAnsi="Times New Roman" w:cs="Times New Roman"/>
        </w:rPr>
      </w:pPr>
    </w:p>
    <w:p w14:paraId="2661FF3F" w14:textId="4AC9D65F" w:rsidR="00CB7F39" w:rsidRDefault="00CB7F39" w:rsidP="00CB7F39">
      <w:pPr>
        <w:spacing w:after="0" w:line="240" w:lineRule="auto"/>
        <w:ind w:left="10"/>
        <w:jc w:val="both"/>
        <w:rPr>
          <w:rFonts w:ascii="Times New Roman" w:hAnsi="Times New Roman" w:cs="Times New Roman"/>
        </w:rPr>
      </w:pPr>
      <w:r>
        <w:rPr>
          <w:rFonts w:ascii="Times New Roman" w:hAnsi="Times New Roman" w:cs="Times New Roman"/>
        </w:rPr>
        <w:t xml:space="preserve">Le présent énoncé entre en vigueur dès son adoption par le </w:t>
      </w:r>
      <w:r w:rsidRPr="00961779">
        <w:rPr>
          <w:rFonts w:ascii="Times New Roman" w:hAnsi="Times New Roman" w:cs="Times New Roman"/>
        </w:rPr>
        <w:t>Conseil de gouvernance qui exerce les pouvoirs du Sénat, jusqu’à ce qu’un Sénat soit constitué en application de l’article 21 de la Loi et qu’il tienne sa première assemblée. Il devra faire l’objet d’une révision au moins tous les deux (2) ans après son adoption ou sa révision.</w:t>
      </w:r>
      <w:r>
        <w:rPr>
          <w:rFonts w:ascii="Times New Roman" w:hAnsi="Times New Roman" w:cs="Times New Roman"/>
        </w:rPr>
        <w:t xml:space="preserve"> </w:t>
      </w:r>
    </w:p>
    <w:p w14:paraId="1889E69C" w14:textId="77777777" w:rsidR="00CB7F39" w:rsidRDefault="00CB7F39" w:rsidP="00CB7F39">
      <w:bookmarkStart w:id="0" w:name="_GoBack"/>
      <w:bookmarkEnd w:id="0"/>
    </w:p>
    <w:p w14:paraId="50E1D5A0" w14:textId="4050EE12" w:rsidR="002B35D0" w:rsidRPr="001E205A" w:rsidRDefault="001E205A">
      <w:pPr>
        <w:spacing w:after="112" w:line="259" w:lineRule="auto"/>
        <w:ind w:left="0" w:firstLine="0"/>
        <w:rPr>
          <w:color w:val="C45911" w:themeColor="accent2" w:themeShade="BF"/>
        </w:rPr>
      </w:pPr>
      <w:r w:rsidRPr="001E205A">
        <w:rPr>
          <w:b/>
          <w:color w:val="C45911" w:themeColor="accent2" w:themeShade="BF"/>
          <w:sz w:val="28"/>
        </w:rPr>
        <w:t xml:space="preserve">RÈGLEMENT SUR LES INVENTIONS ET LE TRANSFERT DE TECHNOLOGIE  </w:t>
      </w:r>
    </w:p>
    <w:p w14:paraId="02CD3E69" w14:textId="77777777" w:rsidR="002B35D0" w:rsidRDefault="003A543A">
      <w:pPr>
        <w:pStyle w:val="Titre1"/>
        <w:ind w:left="705" w:hanging="720"/>
      </w:pPr>
      <w:r>
        <w:lastRenderedPageBreak/>
        <w:t xml:space="preserve">PRÉAMBULE </w:t>
      </w:r>
    </w:p>
    <w:p w14:paraId="16DFE91C" w14:textId="59B83349" w:rsidR="006C6C9D" w:rsidRDefault="003A543A" w:rsidP="006D7F3D">
      <w:pPr>
        <w:spacing w:after="176"/>
        <w:jc w:val="both"/>
      </w:pPr>
      <w:r>
        <w:t>L’</w:t>
      </w:r>
      <w:r w:rsidR="006D7F3D">
        <w:t xml:space="preserve">EAMII </w:t>
      </w:r>
      <w:r>
        <w:t xml:space="preserve">soutient la recherche et le travail intellectuel </w:t>
      </w:r>
      <w:r w:rsidR="006C6C9D">
        <w:t xml:space="preserve">réalisé par les étudiants et les étudiantes ainsi que les professeures et professeurs. </w:t>
      </w:r>
      <w:r>
        <w:t>Il est important que les résultats de la recherche menée à l’</w:t>
      </w:r>
      <w:r w:rsidR="006C6C9D">
        <w:t xml:space="preserve">EAMII </w:t>
      </w:r>
      <w:r>
        <w:t xml:space="preserve">soient </w:t>
      </w:r>
      <w:r w:rsidR="00115D91">
        <w:t>partagés</w:t>
      </w:r>
      <w:r w:rsidR="006C6C9D">
        <w:t xml:space="preserve"> dans la communauté </w:t>
      </w:r>
      <w:proofErr w:type="spellStart"/>
      <w:r w:rsidR="006C6C9D">
        <w:t>estudiante</w:t>
      </w:r>
      <w:proofErr w:type="spellEnd"/>
      <w:r w:rsidR="006C6C9D">
        <w:t xml:space="preserve"> et professionnelle de </w:t>
      </w:r>
      <w:r>
        <w:t xml:space="preserve">manière </w:t>
      </w:r>
      <w:r w:rsidR="006C6C9D">
        <w:t>à être exploitée au maximum</w:t>
      </w:r>
    </w:p>
    <w:p w14:paraId="26FE9C09" w14:textId="77777777" w:rsidR="002B35D0" w:rsidRDefault="003A543A">
      <w:pPr>
        <w:pStyle w:val="Titre1"/>
        <w:ind w:left="705" w:hanging="720"/>
      </w:pPr>
      <w:r>
        <w:t xml:space="preserve">BUTS </w:t>
      </w:r>
    </w:p>
    <w:p w14:paraId="10B4CCFB" w14:textId="77777777" w:rsidR="002B35D0" w:rsidRDefault="003A543A">
      <w:pPr>
        <w:spacing w:after="174"/>
      </w:pPr>
      <w:r>
        <w:t xml:space="preserve">Le présent règlement a pour but de :  </w:t>
      </w:r>
    </w:p>
    <w:p w14:paraId="03286625" w14:textId="77777777" w:rsidR="002B35D0" w:rsidRDefault="006C6C9D">
      <w:pPr>
        <w:numPr>
          <w:ilvl w:val="0"/>
          <w:numId w:val="1"/>
        </w:numPr>
        <w:ind w:hanging="360"/>
      </w:pPr>
      <w:proofErr w:type="gramStart"/>
      <w:r>
        <w:t>soutenir</w:t>
      </w:r>
      <w:proofErr w:type="gramEnd"/>
      <w:r w:rsidR="003A543A">
        <w:t xml:space="preserve"> la divulgation, l’évaluation et, s’il y a lieu, la protection de la propriété intellectuelle des découvertes de recherche et des inventions réalisées par le corps professoral, le personnel et les étudiants de l’</w:t>
      </w:r>
      <w:r>
        <w:t>EAMII</w:t>
      </w:r>
      <w:r w:rsidR="003A543A">
        <w:t xml:space="preserve"> ; </w:t>
      </w:r>
    </w:p>
    <w:p w14:paraId="3FE34C51" w14:textId="77777777" w:rsidR="002B35D0" w:rsidRDefault="003A543A">
      <w:pPr>
        <w:numPr>
          <w:ilvl w:val="0"/>
          <w:numId w:val="1"/>
        </w:numPr>
        <w:ind w:hanging="360"/>
      </w:pPr>
      <w:proofErr w:type="gramStart"/>
      <w:r>
        <w:t>favoriser</w:t>
      </w:r>
      <w:proofErr w:type="gramEnd"/>
      <w:r>
        <w:t xml:space="preserve"> un environnement qui encourage l</w:t>
      </w:r>
      <w:r w:rsidR="006C6C9D">
        <w:t xml:space="preserve">e développement </w:t>
      </w:r>
      <w:r>
        <w:t>de la recherche en conformité avec les principes et les règlements de l’</w:t>
      </w:r>
      <w:r w:rsidR="006C6C9D">
        <w:t>EAMII</w:t>
      </w:r>
      <w:r>
        <w:t xml:space="preserve">; </w:t>
      </w:r>
    </w:p>
    <w:p w14:paraId="0DF3A615" w14:textId="77777777" w:rsidR="006C6C9D" w:rsidRDefault="006C6C9D">
      <w:pPr>
        <w:numPr>
          <w:ilvl w:val="0"/>
          <w:numId w:val="1"/>
        </w:numPr>
        <w:ind w:hanging="360"/>
      </w:pPr>
      <w:proofErr w:type="gramStart"/>
      <w:r>
        <w:t>d’encourager</w:t>
      </w:r>
      <w:proofErr w:type="gramEnd"/>
      <w:r>
        <w:t xml:space="preserve"> le partenariat avec d’autres institutions dans les recherches et l’exploration de nouvelles technologies et de nouveaux mécanismes </w:t>
      </w:r>
    </w:p>
    <w:p w14:paraId="57373843" w14:textId="77777777" w:rsidR="002B35D0" w:rsidRDefault="003A543A">
      <w:pPr>
        <w:pStyle w:val="Titre1"/>
        <w:ind w:left="705" w:hanging="720"/>
      </w:pPr>
      <w:r>
        <w:t xml:space="preserve">CHAMP D’APPLICATION </w:t>
      </w:r>
    </w:p>
    <w:p w14:paraId="7C764ADD" w14:textId="7B7CA7B1" w:rsidR="002B35D0" w:rsidRDefault="003A543A">
      <w:r>
        <w:t xml:space="preserve">Le présent règlement s’applique à toute la communauté </w:t>
      </w:r>
      <w:proofErr w:type="spellStart"/>
      <w:r w:rsidR="006C6C9D">
        <w:t>estudiant</w:t>
      </w:r>
      <w:r>
        <w:t>e</w:t>
      </w:r>
      <w:proofErr w:type="spellEnd"/>
      <w:r w:rsidR="00F25B23">
        <w:t xml:space="preserve"> ainsi que</w:t>
      </w:r>
      <w:r w:rsidR="006C6C9D">
        <w:t xml:space="preserve"> le</w:t>
      </w:r>
      <w:r>
        <w:t xml:space="preserve"> corps professoral, </w:t>
      </w:r>
      <w:r w:rsidR="00F25B23">
        <w:t>le</w:t>
      </w:r>
      <w:r>
        <w:t xml:space="preserve"> personnel administratif, aux étudiants diplômés</w:t>
      </w:r>
      <w:r w:rsidR="00115D91">
        <w:t xml:space="preserve"> et</w:t>
      </w:r>
      <w:r>
        <w:t xml:space="preserve"> aux stagiaires. </w:t>
      </w:r>
    </w:p>
    <w:p w14:paraId="6122E909" w14:textId="77777777" w:rsidR="002B35D0" w:rsidRDefault="003A543A">
      <w:pPr>
        <w:pStyle w:val="Titre1"/>
        <w:ind w:left="705" w:hanging="720"/>
      </w:pPr>
      <w:r>
        <w:t xml:space="preserve">PRINCIPES </w:t>
      </w:r>
    </w:p>
    <w:p w14:paraId="1352D5B7" w14:textId="77777777" w:rsidR="002B35D0" w:rsidRDefault="003A543A">
      <w:pPr>
        <w:pStyle w:val="Titre2"/>
        <w:ind w:left="705" w:hanging="720"/>
      </w:pPr>
      <w:r>
        <w:t>P</w:t>
      </w:r>
      <w:r w:rsidR="00F25B23">
        <w:t>ossession et propriété</w:t>
      </w:r>
      <w:r>
        <w:t xml:space="preserve"> </w:t>
      </w:r>
    </w:p>
    <w:p w14:paraId="6BDD7FFB" w14:textId="77777777" w:rsidR="002B35D0" w:rsidRDefault="003A543A">
      <w:r>
        <w:t>L’</w:t>
      </w:r>
      <w:r w:rsidR="00F25B23">
        <w:t>EAMII</w:t>
      </w:r>
      <w:r>
        <w:t xml:space="preserve"> reste propriétaire des inventions et des données de recherche, sauf dans les cas suivants : </w:t>
      </w:r>
    </w:p>
    <w:p w14:paraId="2B83AA5C" w14:textId="77777777" w:rsidR="002B35D0" w:rsidRDefault="00F25B23">
      <w:pPr>
        <w:numPr>
          <w:ilvl w:val="0"/>
          <w:numId w:val="3"/>
        </w:numPr>
        <w:ind w:hanging="360"/>
      </w:pPr>
      <w:proofErr w:type="gramStart"/>
      <w:r>
        <w:t>l’invention</w:t>
      </w:r>
      <w:proofErr w:type="gramEnd"/>
      <w:r w:rsidR="003A543A">
        <w:t xml:space="preserve"> découle d’activités menées en collaboration avec des inventeurs d’autres institutions et l’</w:t>
      </w:r>
      <w:r>
        <w:t>EAMII</w:t>
      </w:r>
      <w:r w:rsidR="003A543A">
        <w:t xml:space="preserve"> négociera</w:t>
      </w:r>
      <w:r>
        <w:t xml:space="preserve"> les termes de</w:t>
      </w:r>
      <w:r w:rsidR="003A543A">
        <w:t xml:space="preserve"> la propriété</w:t>
      </w:r>
      <w:r>
        <w:t xml:space="preserve"> des résultats de ces recherches</w:t>
      </w:r>
      <w:r w:rsidR="003A543A">
        <w:t xml:space="preserve">; </w:t>
      </w:r>
    </w:p>
    <w:p w14:paraId="752B4DBB" w14:textId="77777777" w:rsidR="002B35D0" w:rsidRDefault="003A543A">
      <w:pPr>
        <w:numPr>
          <w:ilvl w:val="0"/>
          <w:numId w:val="3"/>
        </w:numPr>
        <w:spacing w:after="177"/>
        <w:ind w:hanging="360"/>
      </w:pPr>
      <w:proofErr w:type="gramStart"/>
      <w:r>
        <w:t>les</w:t>
      </w:r>
      <w:proofErr w:type="gramEnd"/>
      <w:r>
        <w:t xml:space="preserve"> données de </w:t>
      </w:r>
      <w:r w:rsidR="00F25B23">
        <w:t xml:space="preserve">la </w:t>
      </w:r>
      <w:r>
        <w:t xml:space="preserve">recherche sont </w:t>
      </w:r>
      <w:r w:rsidR="00F25B23">
        <w:t xml:space="preserve">créés, développées, </w:t>
      </w:r>
      <w:r>
        <w:t>produites</w:t>
      </w:r>
      <w:r w:rsidR="00F25B23">
        <w:t xml:space="preserve"> ou en possession</w:t>
      </w:r>
      <w:r>
        <w:t xml:space="preserve"> par un membre du corps professoral. </w:t>
      </w:r>
    </w:p>
    <w:p w14:paraId="1951F59F" w14:textId="77777777" w:rsidR="002B35D0" w:rsidRDefault="003A543A">
      <w:pPr>
        <w:pStyle w:val="Titre2"/>
        <w:ind w:left="705" w:hanging="720"/>
      </w:pPr>
      <w:r>
        <w:t xml:space="preserve">Répartition des recettes nettes </w:t>
      </w:r>
    </w:p>
    <w:p w14:paraId="7848A3CF" w14:textId="77777777" w:rsidR="002B35D0" w:rsidRDefault="003A543A" w:rsidP="003A543A">
      <w:pPr>
        <w:spacing w:after="159"/>
        <w:ind w:left="720" w:hanging="720"/>
        <w:jc w:val="both"/>
      </w:pPr>
      <w:r>
        <w:t xml:space="preserve">a) Lorsqu’il y a plusieurs inventeurs, l’EAMII détermine le niveau de la contribution de chaque inventeur et des recettes nettes payable à chacun d’eux. </w:t>
      </w:r>
    </w:p>
    <w:p w14:paraId="15C12E3E" w14:textId="77777777" w:rsidR="002B35D0" w:rsidRDefault="003A543A">
      <w:pPr>
        <w:spacing w:after="176"/>
        <w:ind w:left="720" w:hanging="720"/>
      </w:pPr>
      <w:r>
        <w:t xml:space="preserve">b) L’EAMII remettra un rapport annuel des activités de commercialisation aux inventeurs. </w:t>
      </w:r>
    </w:p>
    <w:p w14:paraId="2F17C5AF" w14:textId="77777777" w:rsidR="002B35D0" w:rsidRDefault="003A543A">
      <w:pPr>
        <w:pStyle w:val="Titre2"/>
        <w:ind w:left="705" w:hanging="720"/>
      </w:pPr>
      <w:r>
        <w:t xml:space="preserve">Confidentialité </w:t>
      </w:r>
    </w:p>
    <w:p w14:paraId="3E079727" w14:textId="77777777" w:rsidR="002B35D0" w:rsidRDefault="003A543A" w:rsidP="003A543A">
      <w:pPr>
        <w:spacing w:after="174"/>
        <w:ind w:left="10"/>
      </w:pPr>
      <w:r>
        <w:t xml:space="preserve">Tout membre du personnel de l’EAMII qui participe au processus d’examen d’une divulgation d’invention, de détermination de la propriété, de commercialisation, d’évaluation de la brevetabilité et d’exploitation commerciale ont l’obligation de préserver la confidentialité de l’invention jusqu’à ce que celle-ci jouisse d’une protection intellectuelle appropriée. </w:t>
      </w:r>
    </w:p>
    <w:p w14:paraId="443E7F12" w14:textId="77777777" w:rsidR="002B35D0" w:rsidRDefault="002B35D0"/>
    <w:sectPr w:rsidR="002B35D0" w:rsidSect="003A543A">
      <w:footerReference w:type="even" r:id="rId7"/>
      <w:footerReference w:type="default" r:id="rId8"/>
      <w:footerReference w:type="first" r:id="rId9"/>
      <w:pgSz w:w="12240" w:h="15840"/>
      <w:pgMar w:top="709" w:right="1799" w:bottom="1453" w:left="1800" w:header="72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6621" w14:textId="77777777" w:rsidR="00EB4BB0" w:rsidRDefault="00EB4BB0">
      <w:pPr>
        <w:spacing w:after="0" w:line="240" w:lineRule="auto"/>
      </w:pPr>
      <w:r>
        <w:separator/>
      </w:r>
    </w:p>
  </w:endnote>
  <w:endnote w:type="continuationSeparator" w:id="0">
    <w:p w14:paraId="33CF14BC" w14:textId="77777777" w:rsidR="00EB4BB0" w:rsidRDefault="00EB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A21B" w14:textId="77777777" w:rsidR="002B35D0" w:rsidRDefault="003A543A">
    <w:pPr>
      <w:spacing w:after="0" w:line="259" w:lineRule="auto"/>
      <w:ind w:left="1970" w:firstLine="0"/>
    </w:pPr>
    <w:r>
      <w:rPr>
        <w:i/>
        <w:sz w:val="18"/>
      </w:rPr>
      <w:t xml:space="preserve">Adopté par le Conseil de gouvernance de l’UOF le 14 mai 2019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15F4" w14:textId="5A10D3FD" w:rsidR="002B35D0" w:rsidRDefault="003A543A">
    <w:pPr>
      <w:spacing w:after="0" w:line="259" w:lineRule="auto"/>
      <w:ind w:left="1970" w:firstLine="0"/>
    </w:pPr>
    <w:r w:rsidRPr="00961779">
      <w:rPr>
        <w:i/>
        <w:sz w:val="18"/>
      </w:rPr>
      <w:t>Adopté par le Conseil de gouvernance de l’EAMII le</w:t>
    </w:r>
    <w:r w:rsidR="00961779">
      <w:rPr>
        <w:i/>
        <w:sz w:val="18"/>
      </w:rPr>
      <w:t xml:space="preserve"> 1</w:t>
    </w:r>
    <w:r w:rsidR="00961779" w:rsidRPr="00961779">
      <w:rPr>
        <w:i/>
        <w:sz w:val="18"/>
        <w:vertAlign w:val="superscript"/>
      </w:rPr>
      <w:t>er</w:t>
    </w:r>
    <w:r w:rsidR="00961779">
      <w:rPr>
        <w:i/>
        <w:sz w:val="18"/>
      </w:rPr>
      <w:t xml:space="preserve"> septembre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C624" w14:textId="77777777" w:rsidR="002B35D0" w:rsidRDefault="003A543A">
    <w:pPr>
      <w:spacing w:after="0" w:line="259" w:lineRule="auto"/>
      <w:ind w:left="1970" w:firstLine="0"/>
    </w:pPr>
    <w:r>
      <w:rPr>
        <w:i/>
        <w:sz w:val="18"/>
      </w:rPr>
      <w:t xml:space="preserve">Adopté par le Conseil de gouvernance de l’UOF le 14 mai 2019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073F6" w14:textId="77777777" w:rsidR="00EB4BB0" w:rsidRDefault="00EB4BB0">
      <w:pPr>
        <w:spacing w:after="0" w:line="240" w:lineRule="auto"/>
      </w:pPr>
      <w:r>
        <w:separator/>
      </w:r>
    </w:p>
  </w:footnote>
  <w:footnote w:type="continuationSeparator" w:id="0">
    <w:p w14:paraId="01290AAB" w14:textId="77777777" w:rsidR="00EB4BB0" w:rsidRDefault="00EB4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5056"/>
    <w:multiLevelType w:val="hybridMultilevel"/>
    <w:tmpl w:val="7FBE1B44"/>
    <w:lvl w:ilvl="0" w:tplc="53566AF2">
      <w:start w:val="1"/>
      <w:numFmt w:val="lowerLetter"/>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763F7C">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289D98">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18ACCC">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E49D64">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9C7CA4">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66FB7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0AC386">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D4E55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8055A3"/>
    <w:multiLevelType w:val="multilevel"/>
    <w:tmpl w:val="4336E048"/>
    <w:lvl w:ilvl="0">
      <w:start w:val="1"/>
      <w:numFmt w:val="decimal"/>
      <w:pStyle w:val="Titre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pStyle w:val="Titre2"/>
      <w:lvlText w:val="%1.%2."/>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8B209C"/>
    <w:multiLevelType w:val="hybridMultilevel"/>
    <w:tmpl w:val="67B2A78A"/>
    <w:lvl w:ilvl="0" w:tplc="D9BCBF8A">
      <w:start w:val="1"/>
      <w:numFmt w:val="lowerLetter"/>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90F916">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66EA6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344EFE">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5C887A">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FAFDE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44025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3A9E1C">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EC6E0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DC04CC"/>
    <w:multiLevelType w:val="hybridMultilevel"/>
    <w:tmpl w:val="6F64A814"/>
    <w:lvl w:ilvl="0" w:tplc="8F2C161C">
      <w:start w:val="1"/>
      <w:numFmt w:val="lowerLetter"/>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109684">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02238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22CFBC">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E44D4A">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74702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FE0DD6">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464A52">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BE377E">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38675A"/>
    <w:multiLevelType w:val="hybridMultilevel"/>
    <w:tmpl w:val="61B00466"/>
    <w:lvl w:ilvl="0" w:tplc="F59618C2">
      <w:start w:val="1"/>
      <w:numFmt w:val="lowerLetter"/>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569FBA">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524CA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A21D08">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6C0822">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2E559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198C">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29EC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3040EC">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D0"/>
    <w:rsid w:val="00115D91"/>
    <w:rsid w:val="001E205A"/>
    <w:rsid w:val="00275082"/>
    <w:rsid w:val="002B35D0"/>
    <w:rsid w:val="003214FD"/>
    <w:rsid w:val="003A543A"/>
    <w:rsid w:val="004300E9"/>
    <w:rsid w:val="006C6C9D"/>
    <w:rsid w:val="006D7F3D"/>
    <w:rsid w:val="00961779"/>
    <w:rsid w:val="00AB4225"/>
    <w:rsid w:val="00CB7F39"/>
    <w:rsid w:val="00DE5B16"/>
    <w:rsid w:val="00EB4BB0"/>
    <w:rsid w:val="00F25B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0E0A2"/>
  <w15:docId w15:val="{906E9790-77F1-44AC-BE86-8C989A72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58" w:lineRule="auto"/>
      <w:ind w:left="730" w:hanging="10"/>
    </w:pPr>
    <w:rPr>
      <w:rFonts w:ascii="Calibri" w:eastAsia="Calibri" w:hAnsi="Calibri" w:cs="Calibri"/>
      <w:color w:val="000000"/>
    </w:rPr>
  </w:style>
  <w:style w:type="paragraph" w:styleId="Titre1">
    <w:name w:val="heading 1"/>
    <w:next w:val="Normal"/>
    <w:link w:val="Titre1Car"/>
    <w:uiPriority w:val="9"/>
    <w:qFormat/>
    <w:pPr>
      <w:keepNext/>
      <w:keepLines/>
      <w:numPr>
        <w:numId w:val="5"/>
      </w:numPr>
      <w:spacing w:after="159"/>
      <w:ind w:left="10" w:hanging="10"/>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numPr>
        <w:ilvl w:val="1"/>
        <w:numId w:val="5"/>
      </w:numPr>
      <w:spacing w:after="159"/>
      <w:ind w:left="10" w:hanging="10"/>
      <w:outlineLvl w:val="1"/>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character" w:customStyle="1" w:styleId="Titre2Car">
    <w:name w:val="Titre 2 Car"/>
    <w:link w:val="Titre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3A543A"/>
    <w:pPr>
      <w:tabs>
        <w:tab w:val="center" w:pos="4320"/>
        <w:tab w:val="right" w:pos="8640"/>
      </w:tabs>
      <w:spacing w:after="0" w:line="240" w:lineRule="auto"/>
    </w:pPr>
  </w:style>
  <w:style w:type="character" w:customStyle="1" w:styleId="En-tteCar">
    <w:name w:val="En-tête Car"/>
    <w:basedOn w:val="Policepardfaut"/>
    <w:link w:val="En-tte"/>
    <w:uiPriority w:val="99"/>
    <w:rsid w:val="003A543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1286</Words>
  <Characters>7075</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Règlement sur les inventions et le transfert de technologie (vf 2019.05.14)</vt:lpstr>
      <vt:lpstr>Microsoft Word - Règlement sur les inventions et le transfert de technologie (vf 2019.05.14)</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Règlement sur les inventions et le transfert de technologie (vf 2019.05.14)</dc:title>
  <dc:subject/>
  <dc:creator>edasilva</dc:creator>
  <cp:keywords/>
  <cp:lastModifiedBy>xavier manga</cp:lastModifiedBy>
  <cp:revision>7</cp:revision>
  <dcterms:created xsi:type="dcterms:W3CDTF">2020-06-02T02:36:00Z</dcterms:created>
  <dcterms:modified xsi:type="dcterms:W3CDTF">2020-08-24T15:21:00Z</dcterms:modified>
</cp:coreProperties>
</file>